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Αίτηση ακύρωσης πράξης ειδικής διαδοχής της ΔΕΥΑΧ</w:t>
      </w:r>
    </w:p>
    <w:p>
      <w:pPr>
        <w:pStyle w:val="Subtitle"/>
      </w:pPr>
      <w:r>
        <w:t>Μεταφορά υπηρεσιών ύδατος και περιουσιακών στοιχείων στην ΕΥΔΑΠ</w:t>
      </w:r>
    </w:p>
    <w:p>
      <w:r>
        <w:rPr>
          <w:b/>
          <w:sz w:val="20"/>
        </w:rPr>
        <w:t>ΣΧΕΔΙΟ ΠΡΟΣ ΣΥΜΠΛΗΡΩΣΗ ΚΑΙ ΝΟΜΙΚΟ ΕΛΕΓΧΟ</w:t>
      </w:r>
    </w:p>
    <w:p>
      <w:r>
        <w:t xml:space="preserve">ΕΝΩΠΙΟΝ </w:t>
      </w:r>
      <w:r>
        <w:rPr>
          <w:b/>
        </w:rPr>
        <w:t>[του αρμόδιου ακυρωτικού δικαστηρίου και του αρμόδιου σχηματισμού]</w:t>
      </w:r>
      <w:r/>
    </w:p>
    <w:p>
      <w:r>
        <w:t xml:space="preserve">Του Δήμου Χαλκιδέων, που εδρεύει στη Χαλκίδα, </w:t>
      </w:r>
      <w:r>
        <w:rPr>
          <w:b/>
        </w:rPr>
        <w:t>[πλήρης διεύθυνση]</w:t>
      </w:r>
      <w:r>
        <w:t xml:space="preserve">, με ΑΦΜ </w:t>
      </w:r>
      <w:r>
        <w:rPr>
          <w:b/>
        </w:rPr>
        <w:t>[ΑΦΜ]</w:t>
      </w:r>
      <w:r>
        <w:t xml:space="preserve">, νομίμως εκπροσωπούμενου από </w:t>
      </w:r>
      <w:r>
        <w:rPr>
          <w:b/>
        </w:rPr>
        <w:t>[ονοματεπώνυμο και ιδιότητα νόμιμου εκπροσώπου]</w:t>
      </w:r>
      <w:r>
        <w:t xml:space="preserve">, δυνάμει </w:t>
      </w:r>
      <w:r>
        <w:rPr>
          <w:b/>
        </w:rPr>
        <w:t>[απόφαση αρμόδιου οργάνου για την άσκηση του ενδίκου βοηθήματος και την παροχή πληρεξουσιότητας]</w:t>
      </w:r>
      <w:r>
        <w:t xml:space="preserve">. Ηλεκτρονική διεύθυνση: </w:t>
      </w:r>
      <w:r>
        <w:rPr>
          <w:b/>
        </w:rPr>
        <w:t>[email]</w:t>
      </w:r>
      <w:r>
        <w:t>.</w:t>
      </w:r>
    </w:p>
    <w:p>
      <w:r>
        <w:t xml:space="preserve">Κατά του Ελληνικού Δημοσίου, όπως νομίμως εκπροσωπείται για την προσβαλλόμενη πράξη από </w:t>
      </w:r>
      <w:r>
        <w:rPr>
          <w:b/>
        </w:rPr>
        <w:t>[αρμόδιο όργανο κατά τις εφαρμοστέες δικονομικές διατάξεις]</w:t>
      </w:r>
      <w:r>
        <w:t xml:space="preserve">. Εκδούσα αρχή: </w:t>
      </w:r>
      <w:r>
        <w:rPr>
          <w:b/>
        </w:rPr>
        <w:t>[ακριβής τίτλος Γραμματέα και Αποκεντρωμένης Διοίκησης]</w:t>
      </w:r>
      <w:r>
        <w:t>.</w:t>
      </w:r>
    </w:p>
    <w:p>
      <w:r>
        <w:t xml:space="preserve">Ωφελούμενη από την πράξη και ενδιαφερόμενη για τις κατά νόμο επιδόσεις: η Εταιρεία Υδρεύσεως και Αποχετεύσεως Πρωτευούσης ΑΕ, με έδρα </w:t>
      </w:r>
      <w:r>
        <w:rPr>
          <w:b/>
        </w:rPr>
        <w:t>[έδρα και διεύθυνση]</w:t>
      </w:r>
      <w:r>
        <w:t>, όπως νομίμως εκπροσωπείται.</w:t>
      </w:r>
    </w:p>
    <w:p>
      <w:pPr>
        <w:pStyle w:val="Heading1"/>
      </w:pPr>
      <w:r>
        <w:t>1 Αντικείμενο της αίτησης</w:t>
      </w:r>
    </w:p>
    <w:p>
      <w:r>
        <w:t xml:space="preserve">Ζητούμε την ακύρωση της υπ’ αριθ. </w:t>
      </w:r>
      <w:r>
        <w:rPr>
          <w:b/>
        </w:rPr>
        <w:t>[αριθμός και ημερομηνία]</w:t>
      </w:r>
      <w:r>
        <w:t xml:space="preserve"> πράξης </w:t>
      </w:r>
      <w:r>
        <w:rPr>
          <w:b/>
        </w:rPr>
        <w:t>[εκδούσα αρχή]</w:t>
      </w:r>
      <w:r>
        <w:t xml:space="preserve">, που δημοσιεύθηκε στο ΦΕΚ </w:t>
      </w:r>
      <w:r>
        <w:rPr>
          <w:b/>
        </w:rPr>
        <w:t>[τεύχος αριθμός ημερομηνία]</w:t>
      </w:r>
      <w:r>
        <w:t xml:space="preserve">, με ΑΔΑ </w:t>
      </w:r>
      <w:r>
        <w:rPr>
          <w:b/>
        </w:rPr>
        <w:t>[ΑΔΑ]</w:t>
      </w:r>
      <w:r>
        <w:t xml:space="preserve">, κατά το μέρος με το οποίο διαπιστώνεται η ειδική διαδοχή της </w:t>
      </w:r>
      <w:r>
        <w:rPr>
          <w:b/>
        </w:rPr>
        <w:t>[πλήρης καταστατική επωνυμία ΔΕΥΑΧ]</w:t>
      </w:r>
      <w:r>
        <w:t xml:space="preserve"> από την ΕΥΔΑΠ και η μεταφορά </w:t>
      </w:r>
      <w:r>
        <w:rPr>
          <w:b/>
        </w:rPr>
        <w:t>[ακριβές αντικείμενο και προσβαλλόμενες παράγραφοι]</w:t>
      </w:r>
      <w:r>
        <w:t>. Επισυνάπτεται ολόκληρη η πράξη με τα παραρτήματά της ως Σχετικό 1.</w:t>
      </w:r>
    </w:p>
    <w:p>
      <w:r>
        <w:t>Η προσβολή αφορά τη νομιμότητα της συγκεκριμένης εκτελεστής διοικητικής πράξης. Το αίτημα δεν έχει ως αντικείμενο τον αυτοτελή δικαστικό καθορισμό του τιμήματος ή της αξίας των μεταβιβαζόμενων στοιχείων, για τον οποίο προβλέπεται ιδιαίτερη διαδικασία στο άρθρο 5 του ν. 5325/2026.</w:t>
      </w:r>
    </w:p>
    <w:p>
      <w:pPr>
        <w:pStyle w:val="Heading1"/>
      </w:pPr>
      <w:r>
        <w:t>2 Ιστορικό και άμεση επίδραση στον Δήμο</w:t>
      </w:r>
    </w:p>
    <w:p>
      <w:r>
        <w:t xml:space="preserve">Ο αιτών Δήμος συνδέεται με τη ΔΕΥΑΧ δυνάμει </w:t>
      </w:r>
      <w:r>
        <w:rPr>
          <w:b/>
        </w:rPr>
        <w:t>[ιδρυτική πράξη και τροποποιήσεις]</w:t>
      </w:r>
      <w:r>
        <w:t xml:space="preserve">. Οι επίμαχες υπηρεσίες καλύπτουν </w:t>
      </w:r>
      <w:r>
        <w:rPr>
          <w:b/>
        </w:rPr>
        <w:t>[ακριβείς περιοχές και λειτουργίες]</w:t>
      </w:r>
      <w:r>
        <w:t xml:space="preserve">. Στην προσβαλλόμενη πράξη περιλαμβάνονται </w:t>
      </w:r>
      <w:r>
        <w:rPr>
          <w:b/>
        </w:rPr>
        <w:t>[συγκεκριμένα δημοτικά πάγια, δικαιώματα, αρμοδιότητες ή οικονομικές υποχρεώσεις]</w:t>
      </w:r>
      <w:r>
        <w:t xml:space="preserve">, όπως προκύπτει από </w:t>
      </w:r>
      <w:r>
        <w:rPr>
          <w:b/>
        </w:rPr>
        <w:t>[τίτλους, μητρώα, συμβάσεις και οικονομικά στοιχεία]</w:t>
      </w:r>
      <w:r>
        <w:t>.</w:t>
      </w:r>
    </w:p>
    <w:p>
      <w:r>
        <w:t xml:space="preserve">Η διαδικασία που προηγήθηκε έχει ως εξής: υποβολή φακέλου στις </w:t>
      </w:r>
      <w:r>
        <w:rPr>
          <w:b/>
        </w:rPr>
        <w:t>[ημερομηνία]</w:t>
      </w:r>
      <w:r>
        <w:t xml:space="preserve">, σύνταξη έκθεσης αποτίμησης στις </w:t>
      </w:r>
      <w:r>
        <w:rPr>
          <w:b/>
        </w:rPr>
        <w:t>[ημερομηνία]</w:t>
      </w:r>
      <w:r>
        <w:t xml:space="preserve">, έκδοση απόφασης ΡΑΑΕΥ </w:t>
      </w:r>
      <w:r>
        <w:rPr>
          <w:b/>
        </w:rPr>
        <w:t>[αριθμός και ημερομηνία]</w:t>
      </w:r>
      <w:r>
        <w:t xml:space="preserve">, κοινοποίησή της στον Δήμο στις </w:t>
      </w:r>
      <w:r>
        <w:rPr>
          <w:b/>
        </w:rPr>
        <w:t>[ημερομηνία και αποδεικτικό]</w:t>
      </w:r>
      <w:r>
        <w:t xml:space="preserve">, υποβολή παρατηρήσεων του Δήμου στις </w:t>
      </w:r>
      <w:r>
        <w:rPr>
          <w:b/>
        </w:rPr>
        <w:t>[ημερομηνία και πρωτόκολλο]</w:t>
      </w:r>
      <w:r>
        <w:t xml:space="preserve">, έκδοση προσβαλλόμενης πράξης στις </w:t>
      </w:r>
      <w:r>
        <w:rPr>
          <w:b/>
        </w:rPr>
        <w:t>[ημερομηνία]</w:t>
      </w:r>
      <w:r>
        <w:t xml:space="preserve">. </w:t>
      </w:r>
      <w:r>
        <w:rPr>
          <w:b/>
        </w:rPr>
        <w:t>[Καταγράφονται μόνο γεγονότα που αποδεικνύονται. Αν δεν υπάρχει έγγραφο, περιγράφεται η έλλειψη και το σχετικό αίτημα αναζήτησής του.]</w:t>
      </w:r>
      <w:r/>
    </w:p>
    <w:p>
      <w:r/>
      <w:r>
        <w:rPr>
          <w:b/>
        </w:rPr>
        <w:t>[Εφόσον υπάρχει εμπρόθεσμη απόφαση του άρθρου 5 παρ. 1 περ. α΄:]</w:t>
      </w:r>
      <w:r>
        <w:t xml:space="preserve"> Με την υπ’ αριθ. </w:t>
      </w:r>
      <w:r>
        <w:rPr>
          <w:b/>
        </w:rPr>
        <w:t>[αριθμός]</w:t>
      </w:r>
      <w:r>
        <w:t xml:space="preserve"> απόφαση του Δημοτικού Συμβουλίου, η οποία εκδόθηκε στις </w:t>
      </w:r>
      <w:r>
        <w:rPr>
          <w:b/>
        </w:rPr>
        <w:t>[ημερομηνία]</w:t>
      </w:r>
      <w:r>
        <w:t xml:space="preserve"> και κοινοποιήθηκε στους κατά νόμο αποδέκτες στις </w:t>
      </w:r>
      <w:r>
        <w:rPr>
          <w:b/>
        </w:rPr>
        <w:t>[ημερομηνίες]</w:t>
      </w:r>
      <w:r>
        <w:t xml:space="preserve">, αποφασίσθηκε η μη μεταβίβαση της κυριότητας των παγίων που αναφέρονται στο Παράρτημα </w:t>
      </w:r>
      <w:r>
        <w:rPr>
          <w:b/>
        </w:rPr>
        <w:t>[αριθμός]</w:t>
      </w:r>
      <w:r>
        <w:t>. Παρά ταύτα, η προσβαλλόμενη περιέλαβε τα ίδια πάγια στη μεταβίβαση κυριότητας.</w:t>
      </w:r>
    </w:p>
    <w:p>
      <w:pPr>
        <w:pStyle w:val="Heading1"/>
      </w:pPr>
      <w:r>
        <w:t>3 Παραδεκτό και εμπρόθεσμη άσκηση</w:t>
      </w:r>
    </w:p>
    <w:p>
      <w:r>
        <w:t xml:space="preserve">Το άμεσο, προσωπικό και ενεστώς έννομο συμφέρον του Δήμου συνίσταται στη συγκεκριμένη μεταβολή </w:t>
      </w:r>
      <w:r>
        <w:rPr>
          <w:b/>
        </w:rPr>
        <w:t>[κυριότητας ή άλλου δικαιώματος, αρμοδιότητας, καταλογισμού υποχρεώσεων]</w:t>
      </w:r>
      <w:r>
        <w:t xml:space="preserve"> που επέρχεται με τις παραγράφους </w:t>
      </w:r>
      <w:r>
        <w:rPr>
          <w:b/>
        </w:rPr>
        <w:t>[αριθμοί]</w:t>
      </w:r>
      <w:r>
        <w:t xml:space="preserve"> της πράξης. Η μεταβολή αποδεικνύεται από </w:t>
      </w:r>
      <w:r>
        <w:rPr>
          <w:b/>
        </w:rPr>
        <w:t>[συγκεκριμένο σχετικό]</w:t>
      </w:r>
      <w:r>
        <w:t>. Δεν στηριζόμαστε αποκλειστικά σε γενικό ενδιαφέρον για την προστασία του νερού.</w:t>
      </w:r>
    </w:p>
    <w:p>
      <w:r>
        <w:t xml:space="preserve">Η πράξη παράγει αυτοτελή έννομα αποτελέσματα, διότι </w:t>
      </w:r>
      <w:r>
        <w:rPr>
          <w:b/>
        </w:rPr>
        <w:t>[εξειδίκευση του τρόπου με τον οποίο οριστικοποιεί τη διαδοχή και εξατομικεύει τη μεταφορά συγκεκριμένων στοιχείων]</w:t>
      </w:r>
      <w:r>
        <w:t xml:space="preserve">. Η αρμοδιότητα του Δικαστηρίου σας και η καταλληλότητα του ενδίκου βοηθήματος θεμελιώνονται σε </w:t>
      </w:r>
      <w:r>
        <w:rPr>
          <w:b/>
        </w:rPr>
        <w:t>[ακριβής ισχύουσα διάταξη, αφού ελεγχθούν οι ειδικές διατάξεις αρμοδιότητας]</w:t>
      </w:r>
      <w:r>
        <w:t>.</w:t>
      </w:r>
    </w:p>
    <w:p>
      <w:r>
        <w:t xml:space="preserve">Η δημοσίευση, κοινοποίηση ή πλήρης γνώση που αποτελεί τη νόμιμη αφετηρία της προθεσμίας έλαβε χώρα στις </w:t>
      </w:r>
      <w:r>
        <w:rPr>
          <w:b/>
        </w:rPr>
        <w:t>[ημερομηνία]</w:t>
      </w:r>
      <w:r>
        <w:t xml:space="preserve">, όπως προκύπτει από </w:t>
      </w:r>
      <w:r>
        <w:rPr>
          <w:b/>
        </w:rPr>
        <w:t>[αποδεικτικό]</w:t>
      </w:r>
      <w:r>
        <w:t xml:space="preserve">. Η αίτηση ασκείται στις </w:t>
      </w:r>
      <w:r>
        <w:rPr>
          <w:b/>
        </w:rPr>
        <w:t>[ημερομηνία]</w:t>
      </w:r>
      <w:r>
        <w:t xml:space="preserve">, εμπροθέσμως κατά </w:t>
      </w:r>
      <w:r>
        <w:rPr>
          <w:b/>
        </w:rPr>
        <w:t>[εφαρμοστέα διάταξη και αναλυτικός υπολογισμός]</w:t>
      </w:r>
      <w:r>
        <w:t xml:space="preserve">. </w:t>
      </w:r>
      <w:r>
        <w:rPr>
          <w:b/>
        </w:rPr>
        <w:t>[Ελέγχεται αν απαιτείται προηγούμενη ειδική διοικητική προσφυγή και επισυνάπτονται τα σχετικά στοιχεία.]</w:t>
      </w:r>
      <w:r/>
    </w:p>
    <w:p>
      <w:pPr>
        <w:pStyle w:val="Heading1"/>
      </w:pPr>
      <w:r>
        <w:t>4 Λόγοι ακύρωσης</w:t>
      </w:r>
    </w:p>
    <w:p>
      <w:r>
        <w:t>Οι ακόλουθοι λόγοι αναπτύσσονται αυτοτελώς και διατηρούνται μόνο εφόσον συντρέχουν οι αντίστοιχες πραγματικές και νομικές προϋποθέσεις.</w:t>
      </w:r>
    </w:p>
    <w:p>
      <w:pPr>
        <w:pStyle w:val="Heading1"/>
      </w:pPr>
      <w:r>
        <w:t>Πρώτος λόγος Παράβαση της νόμιμης διαδικασίας</w:t>
      </w:r>
    </w:p>
    <w:p>
      <w:r>
        <w:t xml:space="preserve">Η έκδοση της πράξης προϋποθέτει την τήρηση των διαδοχικών σταδίων του άρθρου 4 του ν. 5325/2026. Στην προκείμενη περίπτωση παραλείφθηκε ή παραβιάσθηκε </w:t>
      </w:r>
      <w:r>
        <w:rPr>
          <w:b/>
        </w:rPr>
        <w:t>[ακριβής προϋπόθεση και παράγραφος]</w:t>
      </w:r>
      <w:r>
        <w:t xml:space="preserve">, διότι </w:t>
      </w:r>
      <w:r>
        <w:rPr>
          <w:b/>
        </w:rPr>
        <w:t>[συγκεκριμένο γεγονός και αποδεικτικό]</w:t>
      </w:r>
      <w:r>
        <w:t xml:space="preserve">. Η πλημμέλεια επηρέασε τη νόμιμη ολοκλήρωση της ειδικής διαδοχής με τον εξής τρόπο: </w:t>
      </w:r>
      <w:r>
        <w:rPr>
          <w:b/>
        </w:rPr>
        <w:t>[αιτιώδης σύνδεση]</w:t>
      </w:r>
      <w:r>
        <w:t>.</w:t>
      </w:r>
    </w:p>
    <w:p>
      <w:r/>
      <w:r>
        <w:rPr>
          <w:b/>
        </w:rPr>
        <w:t>[Αν η πράξη εκδόθηκε πριν παρέλθει ο μήνας του άρθρου 4 παρ. 6:]</w:t>
      </w:r>
      <w:r>
        <w:t xml:space="preserve"> Η απόφαση της ΡΑΑΕΥ κοινοποιήθηκε στον Δήμο στις </w:t>
      </w:r>
      <w:r>
        <w:rPr>
          <w:b/>
        </w:rPr>
        <w:t>[ημερομηνία]</w:t>
      </w:r>
      <w:r>
        <w:t xml:space="preserve">, ενώ η προσβαλλόμενη εκδόθηκε στις </w:t>
      </w:r>
      <w:r>
        <w:rPr>
          <w:b/>
        </w:rPr>
        <w:t>[ημερομηνία]</w:t>
      </w:r>
      <w:r>
        <w:t xml:space="preserve">, πριν από τη συμπλήρωση της προβλεπόμενης προθεσμίας. Δεν συντρέχει η νόμιμη εξαίρεση της πρόωρης ολοκλήρωσης με συμφωνία των παρόχων, επειδή </w:t>
      </w:r>
      <w:r>
        <w:rPr>
          <w:b/>
        </w:rPr>
        <w:t>[έλλειψη έγκυρων αποφάσεων ή συγκεκριμένη πλημμέλεια της συμφωνίας]</w:t>
      </w:r>
      <w:r>
        <w:t>.</w:t>
      </w:r>
    </w:p>
    <w:p>
      <w:r/>
      <w:r>
        <w:rPr>
          <w:b/>
        </w:rPr>
        <w:t>[Αν προβάλλεται έλλειψη αποτίμησης ή ελέγχου:]</w:t>
      </w:r>
      <w:r>
        <w:t xml:space="preserve"> Η πλημμέλεια εντοπίζεται σε </w:t>
      </w:r>
      <w:r>
        <w:rPr>
          <w:b/>
        </w:rPr>
        <w:t>[συγκεκριμένη έλλειψη που απαιτεί ο νόμος]</w:t>
      </w:r>
      <w:r>
        <w:t xml:space="preserve">. Δεν αρκεί μόνη η μη ολοκλήρωση οριστικού τεχνικού ελέγχου, όταν συντρέχουν οι νόμιμες προϋποθέσεις προσωρινής αποτίμησης ή μεταγενέστερης ολοκλήρωσης του ελέγχου. Εδώ οι προϋποθέσεις της σχετικής εξαίρεσης δεν πληρούνται για τους εξής λόγους: </w:t>
      </w:r>
      <w:r>
        <w:rPr>
          <w:b/>
        </w:rPr>
        <w:t>[ειδική τεκμηρίωση]</w:t>
      </w:r>
      <w:r>
        <w:t>.</w:t>
      </w:r>
    </w:p>
    <w:p>
      <w:pPr>
        <w:pStyle w:val="Heading1"/>
      </w:pPr>
      <w:r>
        <w:t>Δεύτερος λόγος Παράνομη ένταξη περιουσιακών στοιχείων</w:t>
      </w:r>
    </w:p>
    <w:p>
      <w:r>
        <w:t xml:space="preserve">Η προσβαλλόμενη περιλαμβάνει τα στοιχεία </w:t>
      </w:r>
      <w:r>
        <w:rPr>
          <w:b/>
        </w:rPr>
        <w:t>[αναλυτικός προσδιορισμός και κωδικοί μητρώου ή ΚΑΕΚ]</w:t>
      </w:r>
      <w:r>
        <w:t xml:space="preserve">, μολονότι </w:t>
      </w:r>
      <w:r>
        <w:rPr>
          <w:b/>
        </w:rPr>
        <w:t>[δεν συνδέονται με τις υπηρεσίες ύδατος που καταλαμβάνει η εφαρμοστέα διάταξη ή υφίσταται διαφορετικό ιδιοκτησιακό καθεστώς]</w:t>
      </w:r>
      <w:r>
        <w:t xml:space="preserve">. Τα κρίσιμα χαρακτηριστικά προκύπτουν από </w:t>
      </w:r>
      <w:r>
        <w:rPr>
          <w:b/>
        </w:rPr>
        <w:t>[τίτλους και τεχνική έκθεση]</w:t>
      </w:r>
      <w:r>
        <w:t xml:space="preserve">. Η μεταβίβαση υπερβαίνει το νόμιμο αντικείμενο της ειδικής διαδοχής κατά </w:t>
      </w:r>
      <w:r>
        <w:rPr>
          <w:b/>
        </w:rPr>
        <w:t>[ακριβής διάταξη]</w:t>
      </w:r>
      <w:r>
        <w:t>. Ζητείται η ακύρωση του αντίστοιχου διακριτού μέρους της πράξης.</w:t>
      </w:r>
    </w:p>
    <w:p>
      <w:pPr>
        <w:pStyle w:val="Heading1"/>
      </w:pPr>
      <w:r>
        <w:t>Τρίτος λόγος Παράκαμψη της διατήρησης κυριότητας</w:t>
      </w:r>
    </w:p>
    <w:p>
      <w:r/>
      <w:r>
        <w:rPr>
          <w:b/>
        </w:rPr>
        <w:t>[Χρησιμοποιείται μόνο αν υπάρχει έγκυρη και εμπρόθεσμη απόφαση του άρθρου 5 παρ. 1 περ. α΄.]</w:t>
      </w:r>
      <w:r>
        <w:t xml:space="preserve"> Η υπ’ αριθ. </w:t>
      </w:r>
      <w:r>
        <w:rPr>
          <w:b/>
        </w:rPr>
        <w:t>[αριθμός]</w:t>
      </w:r>
      <w:r>
        <w:t xml:space="preserve"> απόφαση του Δημοτικού Συμβουλίου ενεργοποίησε τη δυνατότητα μη μεταβίβασης της κυριότητας των ειδικά προσδιορισμένων παγίων. Η προσβαλλόμενη πράξη αγνόησε την απόφαση αυτή, μολονότι είχε κοινοποιηθεί με </w:t>
      </w:r>
      <w:r>
        <w:rPr>
          <w:b/>
        </w:rPr>
        <w:t>[αποδεικτικά]</w:t>
      </w:r>
      <w:r>
        <w:t xml:space="preserve">, και συμπεριέλαβε τα πάγια </w:t>
      </w:r>
      <w:r>
        <w:rPr>
          <w:b/>
        </w:rPr>
        <w:t>[κατάλογος]</w:t>
      </w:r>
      <w:r>
        <w:t xml:space="preserve"> στη μεταβίβαση κυριότητας. Ως προς αυτά παραβιάζει την επιφύλαξη του άρθρου 4 παρ. 6 σε συνδυασμό με το άρθρο 5 παρ. 1 περ. α΄ του ν. 5325/2026.</w:t>
      </w:r>
    </w:p>
    <w:p>
      <w:pPr>
        <w:pStyle w:val="Heading1"/>
      </w:pPr>
      <w:r>
        <w:t>Τέταρτος λόγος Πλάνη περί τα πράγματα και πλημμελής νόμιμη βάση</w:t>
      </w:r>
    </w:p>
    <w:p>
      <w:r>
        <w:t xml:space="preserve">Η πράξη στηρίζεται στην παραδοχή ότι </w:t>
      </w:r>
      <w:r>
        <w:rPr>
          <w:b/>
        </w:rPr>
        <w:t>[ακριβής παραδοχή]</w:t>
      </w:r>
      <w:r>
        <w:t xml:space="preserve">. Η παραδοχή αυτή αντιφάσκει με </w:t>
      </w:r>
      <w:r>
        <w:rPr>
          <w:b/>
        </w:rPr>
        <w:t>[συγκεκριμένα έγγραφα ή αντικειμενικά δεδομένα]</w:t>
      </w:r>
      <w:r>
        <w:t xml:space="preserve">, από τα οποία προκύπτει </w:t>
      </w:r>
      <w:r>
        <w:rPr>
          <w:b/>
        </w:rPr>
        <w:t>[αληθές γεγονός]</w:t>
      </w:r>
      <w:r>
        <w:t xml:space="preserve">. Πρόκειται για στοιχείο ουσιώδες για </w:t>
      </w:r>
      <w:r>
        <w:rPr>
          <w:b/>
        </w:rPr>
        <w:t>[τη νόμιμη υπαγωγή ή τη συγκεκριμένη έννομη συνέπεια]</w:t>
      </w:r>
      <w:r>
        <w:t xml:space="preserve"> και όχι για απλή διαφωνία ως προς τη σκοπιμότητα της μεταρρύθμισης. Η διοίκηση δεν αντιμετώπισε την ειδική αντίρρηση που υποβλήθηκε με </w:t>
      </w:r>
      <w:r>
        <w:rPr>
          <w:b/>
        </w:rPr>
        <w:t>[πρωτόκολλο]</w:t>
      </w:r>
      <w:r>
        <w:t>, μολονότι αφορούσε την ανωτέρω νόμιμη προϋπόθεση.</w:t>
      </w:r>
    </w:p>
    <w:p>
      <w:r/>
      <w:r>
        <w:rPr>
          <w:b/>
        </w:rPr>
        <w:t>[Εφόσον έχει αποδειχθεί:]</w:t>
      </w:r>
      <w:r>
        <w:t xml:space="preserve"> Η άρνηση πρόσβασης των νομίμως ορισμένων συμβούλων στα στοιχεία </w:t>
      </w:r>
      <w:r>
        <w:rPr>
          <w:b/>
        </w:rPr>
        <w:t>[προσδιορισμός]</w:t>
      </w:r>
      <w:r>
        <w:t xml:space="preserve">, παρά τα αιτήματα </w:t>
      </w:r>
      <w:r>
        <w:rPr>
          <w:b/>
        </w:rPr>
        <w:t>[πρωτόκολλα]</w:t>
      </w:r>
      <w:r>
        <w:t xml:space="preserve">, ματαίωσε τη δυνατότητα ουσιαστικής συμμετοχής του Δήμου στη διαδικασία του άρθρου 4 παρ. 4 και 5. Η πλημμέλεια επηρέασε το αποτέλεσμα συγκεκριμένα ως εξής: </w:t>
      </w:r>
      <w:r>
        <w:rPr>
          <w:b/>
        </w:rPr>
        <w:t>[σύνδεση με ελλιπή ή εσφαλμένα στοιχεία]</w:t>
      </w:r>
      <w:r>
        <w:t>. Η τυχόν ανάγκη αυτοτελούς προσβολής της απόφασης ΡΑΑΕΥ ελέγχεται χωριστά.</w:t>
      </w:r>
    </w:p>
    <w:p>
      <w:pPr>
        <w:pStyle w:val="Heading1"/>
      </w:pPr>
      <w:r>
        <w:t>Πέμπτος λόγος Παρεμπίπτων έλεγχος συνταγματικότητας</w:t>
      </w:r>
    </w:p>
    <w:p>
      <w:r>
        <w:t xml:space="preserve">Επικουρικώς, εάν κριθεί ότι η προσβαλλόμενη εφαρμόζει πιστά τη διάταξη </w:t>
      </w:r>
      <w:r>
        <w:rPr>
          <w:b/>
        </w:rPr>
        <w:t>[ακριβές άρθρο παράγραφος και εδάφιο]</w:t>
      </w:r>
      <w:r>
        <w:t xml:space="preserve">, προβάλλουμε ότι η συγκεκριμένη ρύθμιση, κατά την επίμαχη εφαρμογή της, αντίκειται στα άρθρα 102 και 25 παρ. 1 του Συντάγματος. Η αφαίρεση </w:t>
      </w:r>
      <w:r>
        <w:rPr>
          <w:b/>
        </w:rPr>
        <w:t>[συγκεκριμένη αρμοδιότητα ή οικονομικός πόρος]</w:t>
      </w:r>
      <w:r>
        <w:t xml:space="preserve"> προκαλεί </w:t>
      </w:r>
      <w:r>
        <w:rPr>
          <w:b/>
        </w:rPr>
        <w:t>[τεκμηριωμένη συνέπεια για την αυτοτέλεια και λειτουργία του Δήμου]</w:t>
      </w:r>
      <w:r>
        <w:t xml:space="preserve">, χωρίς η επιβάρυνση αυτή να δικαιολογείται επαρκώς σε σχέση με </w:t>
      </w:r>
      <w:r>
        <w:rPr>
          <w:b/>
        </w:rPr>
        <w:t>[συγκεκριμένο σκοπό και στοιχεία της μεταρρύθμισης]</w:t>
      </w:r>
      <w:r>
        <w:t>.</w:t>
      </w:r>
    </w:p>
    <w:p>
      <w:r>
        <w:t xml:space="preserve">Η ένσταση στηρίζεται σε </w:t>
      </w:r>
      <w:r>
        <w:rPr>
          <w:b/>
        </w:rPr>
        <w:t>[τεχνικοοικονομική έκθεση και συγκεκριμένα δεδομένα]</w:t>
      </w:r>
      <w:r>
        <w:t xml:space="preserve"> και σε σύγκριση με </w:t>
      </w:r>
      <w:r>
        <w:rPr>
          <w:b/>
        </w:rPr>
        <w:t>[πρόσφορη, συγκεκριμένη ηπιότερη λύση]</w:t>
      </w:r>
      <w:r>
        <w:t>. Δεν προϋποθέτει ότι το Σύνταγμα κατοχυρώνει αμετάβλητο οργανωτικό σχήμα για κάθε ΔΕΥΑ ή απόλυτο δημοτικό δικαίωμα αρνησικυρίας. Ζητούμε τον παρεμπίπτοντα έλεγχο της συγκεκριμένης διάταξης κατά το άρθρο 93 παρ. 4 του Συντάγματος και την ακύρωση της διοικητικής πράξης που στηρίζεται σε αυτήν.</w:t>
      </w:r>
    </w:p>
    <w:p>
      <w:r/>
      <w:r>
        <w:rPr>
          <w:b/>
        </w:rPr>
        <w:t>[Μόνο εφόσον υπάρχει τεχνική τεκμηρίωση:]</w:t>
      </w:r>
      <w:r>
        <w:t xml:space="preserve"> Η επίμαχη ρύθμιση ή εφαρμογή θέτει σε συγκεκριμένο κίνδυνο τη συνεχή και ασφαλή παροχή ύδατος για τους λόγους </w:t>
      </w:r>
      <w:r>
        <w:rPr>
          <w:b/>
        </w:rPr>
        <w:t>[ειδικά δεδομένα]</w:t>
      </w:r>
      <w:r>
        <w:t>, κατά παράβαση των εγγυήσεων των άρθρων 5 παρ. 5 και 21 παρ. 3 του Συντάγματος. Οι ΣτΕ Ολομ. 190/2022 και 191/2022 αξιοποιούνται για τις εγγυήσεις δημόσιου ελέγχου και προστασίας της υπηρεσίας. Δεν προβάλλονται ως αποφάσεις που απαγορεύουν κάθε συνένωση παρόχων.</w:t>
      </w:r>
    </w:p>
    <w:p>
      <w:pPr>
        <w:pStyle w:val="Heading1"/>
      </w:pPr>
      <w:r>
        <w:t>5 Αίτημα</w:t>
      </w:r>
    </w:p>
    <w:p>
      <w:r>
        <w:t xml:space="preserve">Για τους λόγους αυτούς ζητούμε να γίνει δεκτή η αίτηση και να ακυρωθεί η υπ’ αριθ. </w:t>
      </w:r>
      <w:r>
        <w:rPr>
          <w:b/>
        </w:rPr>
        <w:t>[αριθμός και ημερομηνία]</w:t>
      </w:r>
      <w:r>
        <w:t xml:space="preserve"> πράξη κατά το προσβαλλόμενο μέρος που εξειδικεύεται στην ενότητα 1, άλλως κατά τα διακριτά και αυτοτελώς ακυρωτέα μέρη </w:t>
      </w:r>
      <w:r>
        <w:rPr>
          <w:b/>
        </w:rPr>
        <w:t>[ακριβής προσδιορισμός]</w:t>
      </w:r>
      <w:r>
        <w:t>, και να επιδικασθεί υπέρ του αιτούντος η νόμιμη δικαστική δαπάνη.</w:t>
      </w:r>
    </w:p>
    <w:p>
      <w:r/>
      <w:r>
        <w:rPr>
          <w:b/>
        </w:rPr>
        <w:t>[Τόπος]</w:t>
      </w:r>
      <w:r>
        <w:t xml:space="preserve">, </w:t>
      </w:r>
      <w:r>
        <w:rPr>
          <w:b/>
        </w:rPr>
        <w:t>[ημερομηνία]</w:t>
      </w:r>
      <w:r>
        <w:br/>
        <w:t>Ο πληρεξούσιος δικηγόρος</w:t>
        <w:br/>
      </w:r>
      <w:r>
        <w:rPr>
          <w:b/>
        </w:rPr>
        <w:t>[Ονοματεπώνυμο, Δικηγορικός Σύλλογος, αριθμός μητρώου, διεύθυνση, email και υπογραφή]</w:t>
      </w:r>
      <w:r/>
    </w:p>
    <w:p>
      <w:pPr>
        <w:pStyle w:val="Heading1"/>
      </w:pPr>
      <w:r>
        <w:t>6 Σχετικά έγγραφα</w:t>
      </w:r>
    </w:p>
    <w:p>
      <w:r>
        <w:t>1. Προσβαλλόμενη πράξη και πλήρη παραρτήματα.</w:t>
        <w:br/>
        <w:t>2. ΦΕΚ και αποδεικτικά κοινοποίησης ή γνώσης.</w:t>
        <w:br/>
        <w:t>3. Απόφαση νόμιμης εκπροσώπησης και δικαστικής εντολής.</w:t>
        <w:br/>
        <w:t>4. Έκθεση και απόφαση ΡΑΑΕΥ με αποδεικτικά κοινοποίησης.</w:t>
        <w:br/>
        <w:t>5. Απόφαση άρθρου 5 και αποδεικτικά αποστολής, εφόσον υπάρχει.</w:t>
        <w:br/>
        <w:t>6. Τίτλοι, απογραφή, συμβάσεις και τεχνικοοικονομική έκθεση.</w:t>
        <w:br/>
        <w:t>7. Υποβληθείσες αντιρρήσεις και απαντήσεις.</w:t>
        <w:br/>
      </w:r>
      <w:r>
        <w:rPr>
          <w:b/>
        </w:rPr>
        <w:t>[Η αρίθμηση προσαρμόζεται στο πραγματικό περιεχόμενο του φακέλου.]</w:t>
      </w:r>
      <w:r/>
    </w:p>
    <w:p>
      <w:r>
        <w:br w:type="page"/>
      </w:r>
    </w:p>
    <w:p>
      <w:pPr>
        <w:pStyle w:val="Heading1"/>
      </w:pPr>
      <w:r>
        <w:t>Σημείωμα οριστικοποίησης</w:t>
      </w:r>
    </w:p>
    <w:p>
      <w:r>
        <w:t>Το παρόν σημείωμα αφαιρείται από το κείμενο που θα υπογραφεί ή θα κατατεθεί. Τα πεδία σε αγκύλες συμπληρώνονται και οι εναλλακτικές ή μη τεκμηριωμένες διατυπώσεις διαγράφονται.</w:t>
      </w:r>
    </w:p>
    <w:p>
      <w:r>
        <w:t>Η παρούσα εκδοχή αφορά τον Δήμο Χαλκιδέων. Αν επιλεγεί ως αιτούσα η ΔΕΥΑΧ, χρειάζεται αυτοτελής προσαρμογή νομιμοποίησης, εκπροσώπησης και ικανότητας διαδίκου, ιδίως αν έχει επέλθει λύση ή ειδική διαδοχή. Η ιδιότητα δημοτικού συμβούλου δεν παρέχει από μόνη της εξουσία εκπροσώπησης του Δήμου.</w:t>
      </w:r>
    </w:p>
    <w:p>
      <w:r>
        <w:t>Πρώτα ταυτοποιούνται η ήδη εκδοθείσα πράξη και ο εκτελεστός χαρακτήρας της. Δεν κατατίθεται το υπόδειγμα κατά αναμενόμενης μελλοντικής πράξης. Για υπουργική κανονιστική απόφαση ή αυτοτελή απόφαση ΡΑΑΕΥ χρειάζεται διαφορετική στόχευση και έλεγχος ειδικής αρμοδιότητας, προσφυγής και προθεσμίας.</w:t>
      </w:r>
    </w:p>
    <w:p>
      <w:r>
        <w:t>Ο γενικός κανόνας των 60 ημερών του άρθρου 46 π.δ. 18/1989 δεν υποκαθιστά τον εξατομικευμένο έλεγχο. Ελέγχονται χωριστά αφετηρία, ειδικές διατάξεις, τυχόν διοικητική προσφυγή και δικονομικές διακοπές ή αναστολές. Αίτημα χορήγησης εγγράφων και απλή επιφύλαξη δικαιωμάτων δεν θεωρούνται ότι διαφυλάσσουν την προθεσμία.</w:t>
      </w:r>
    </w:p>
    <w:p>
      <w:r>
        <w:t>Η δικαστική αρμοδιότητα και το έννομο συμφέρον δεν τεκμαίρονται. Ελέγχονται επίσης οι διατυπώσεις κατάθεσης, πληρεξουσιότητας, επιδόσεων και τυχόν παραβόλου. Η γενική επιφύλαξη για κάθε συναφή πράξη δεν υποκαθιστά την ειδική προσβολή της.</w:t>
      </w:r>
    </w:p>
    <w:p>
      <w:r>
        <w:t>Η διαφωνία ως προς την αξία χρειάζεται αυτοτελή αξιολόγηση κατά το άρθρο 5 παρ. 1 περ. β΄. Η απόφαση μη μεταβίβασης κυριότητας έχει διαφορετικό αντικείμενο από την ακύρωση της διαδοχής και δεν πρέπει να αφεθεί να εκπνεύσει η δική της προθεσμία.</w:t>
      </w:r>
    </w:p>
    <w:p>
      <w:pPr>
        <w:pStyle w:val="Heading1"/>
      </w:pPr>
      <w:r>
        <w:t>Νομικές αναφορές</w:t>
      </w:r>
    </w:p>
    <w:p>
      <w:hyperlink r:id="rId10">
        <w:r>
          <w:rPr>
            <w:sz w:val="20"/>
          </w:rPr>
          <w:t>Νόμος 5325/2026 και σύνδεσμος στο ΦΕΚ Α 122 της 31 Ιουλίου 2026</w:t>
        </w:r>
      </w:hyperlink>
    </w:p>
    <w:p>
      <w:hyperlink r:id="rId11">
        <w:r>
          <w:rPr>
            <w:sz w:val="20"/>
          </w:rPr>
          <w:t>Νόμος 5119/2024 άρθρα 3 6 και 20 για τη δικονομία του ΣτΕ</w:t>
        </w:r>
      </w:hyperlink>
    </w:p>
    <w:p>
      <w:hyperlink r:id="rId12">
        <w:r>
          <w:rPr>
            <w:sz w:val="20"/>
          </w:rPr>
          <w:t>Δημοσιευμένη περίληψη των ΣτΕ Ολομέλειας 190 και 191 του 2022</w:t>
        </w:r>
      </w:hyperlink>
    </w:p>
    <w:p>
      <w:r>
        <w:t>Έλεγχος πηγών 12 Οκτωβρίου 2026. Πριν από τη χρήση απαιτείται έλεγχος της ισχύουσας μορφής των διατάξεων, τυχόν νεότερων πράξεων και του πλήρους διοικητικού φακέλου.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Σχέδιο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40"/>
    </w:pPr>
    <w:rPr>
      <w:rFonts w:ascii="Liberation Serif" w:hAnsi="Liberation Serif" w:eastAsia="Liberation Serif" w:cs="Liberation Serif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Liberation Serif" w:hAnsi="Liberation Serif" w:eastAsia="Liberation Serif" w:cs="Liberation Serif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Liberation Serif" w:hAnsi="Liberation Serif" w:eastAsia="Liberation Serif" w:cs="Liberation Serif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</w:pPr>
    <w:rPr>
      <w:rFonts w:ascii="Liberation Serif" w:hAnsi="Liberation Serif" w:eastAsia="Liberation Serif" w:cs="Liberation Serif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kodiko.gr/nomothesia/document/1345039/nomos-5325-2026" TargetMode="External"/><Relationship Id="rId11" Type="http://schemas.openxmlformats.org/officeDocument/2006/relationships/hyperlink" Target="https://ministryofjustice.gr/wp-content/uploads/2024/07/Nomos_5119_2024.pdf" TargetMode="External"/><Relationship Id="rId12" Type="http://schemas.openxmlformats.org/officeDocument/2006/relationships/hyperlink" Target="https://metodikigoro.gr/news/legal-news/96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ακύρωσης πράξης ειδικής διαδοχής της ΔΕΥΑΧ</dc:title>
  <dc:subject>ΔΕΥΑΧ και ΕΥΔΑΠ — σχέδιο νομικού εγγράφου</dc:subject>
  <dc:creator/>
  <cp:keywords>ΔΕΥΑΧ, ΕΥΔΑΠ, σχέδιο, νομική προστασία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