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Σχέδιο απόφασης διατήρησης κυριότητας παγίων</w:t>
      </w:r>
    </w:p>
    <w:p>
      <w:pPr>
        <w:pStyle w:val="Subtitle"/>
      </w:pPr>
      <w:r>
        <w:t>Δήμος Χαλκιδέων — εφαρμογή άρθρου 5 παράγραφος 1 περίπτωση α του νόμου 5325 του 2026</w:t>
      </w:r>
    </w:p>
    <w:p>
      <w:r>
        <w:rPr>
          <w:b/>
          <w:sz w:val="20"/>
        </w:rPr>
        <w:t>ΣΧΕΔΙΟ ΠΡΟΣ ΣΥΜΠΛΗΡΩΣΗ ΚΑΙ ΝΟΜΙΚΟ ΕΛΕΓΧΟ</w:t>
      </w:r>
    </w:p>
    <w:p>
      <w:r>
        <w:t>ΠΡΟΣ ΤΟ ΔΗΜΟΤΙΚΟ ΣΥΜΒΟΥΛΙΟ ΔΗΜΟΥ ΧΑΛΚΙΔΕΩΝ</w:t>
      </w:r>
    </w:p>
    <w:p>
      <w:r>
        <w:t xml:space="preserve">Εισηγητής: </w:t>
      </w:r>
      <w:r>
        <w:rPr>
          <w:b/>
        </w:rPr>
        <w:t>[ονοματεπώνυμο και ιδιότητα]</w:t>
      </w:r>
      <w:r>
        <w:t xml:space="preserve">. Συνεδρίαση: </w:t>
      </w:r>
      <w:r>
        <w:rPr>
          <w:b/>
        </w:rPr>
        <w:t>[ημερομηνία]</w:t>
      </w:r>
      <w:r>
        <w:t>. Θέμα: Μη μεταβίβαση της κυριότητας των παγίων που συνδέονται με την παροχή υπηρεσιών ύδατος στο πλαίσιο της ειδικής διαδοχής της ΔΕΥΑΧ.</w:t>
      </w:r>
    </w:p>
    <w:p>
      <w:pPr>
        <w:pStyle w:val="Heading1"/>
      </w:pPr>
      <w:r>
        <w:t>1 Αντικείμενο και κρίσιμη προθεσμία</w:t>
      </w:r>
    </w:p>
    <w:p>
      <w:r>
        <w:t>Εισηγούμαι την άσκηση της δυνατότητας του άρθρου 5 παρ. 1 περ. α΄ του ν. 5325/2026 για τη μη μεταβίβαση της κυριότητας των παγίων περιουσιακών στοιχείων που προσδιορίζονται στο συνημμένο Παράρτημα Α. Η παρούσα απόφαση αφορά την κυριότητα και δεν ισοδυναμεί με ματαίωση της μεταφοράς της δραστηριότητας παροχής υπηρεσιών ύδατος.</w:t>
      </w:r>
    </w:p>
    <w:p>
      <w:r>
        <w:t xml:space="preserve">Η υπ’ αριθ. </w:t>
      </w:r>
      <w:r>
        <w:rPr>
          <w:b/>
        </w:rPr>
        <w:t>[αριθμός και ημερομηνία]</w:t>
      </w:r>
      <w:r>
        <w:t xml:space="preserve"> απόφαση της ΡΑΑΕΥ του άρθρου 4 παρ. 5 κοινοποιήθηκε στον Δήμο στις </w:t>
      </w:r>
      <w:r>
        <w:rPr>
          <w:b/>
        </w:rPr>
        <w:t>[ημερομηνία]</w:t>
      </w:r>
      <w:r>
        <w:t xml:space="preserve">, όπως προκύπτει από </w:t>
      </w:r>
      <w:r>
        <w:rPr>
          <w:b/>
        </w:rPr>
        <w:t>[αποδεικτικό]</w:t>
      </w:r>
      <w:r>
        <w:t xml:space="preserve">. Η μηνιαία προθεσμία των άρθρων 4 παρ. 6 και 5 παρ. 1 λήγει στις </w:t>
      </w:r>
      <w:r>
        <w:rPr>
          <w:b/>
        </w:rPr>
        <w:t>[ημερομηνία κατόπιν νομικού υπολογισμού]</w:t>
      </w:r>
      <w:r>
        <w:t>. Η παρούσα εισάγεται προς λήψη απόφασης εντός της προθεσμίας αυτής.</w:t>
      </w:r>
    </w:p>
    <w:p>
      <w:r/>
      <w:r>
        <w:rPr>
          <w:b/>
        </w:rPr>
        <w:t>[Αν δεν έχει ακόμη κοινοποιηθεί η απόφαση ΡΑΑΕΥ: το κείμενο χρησιμοποιείται για προπαρασκευή της απογραφής και της εισήγησης. Η νόμιμη χρονική στιγμή και τυχόν ανάγκη επανάληψης της απόφασης ελέγχονται από τη νομική υπηρεσία.]</w:t>
      </w:r>
      <w:r/>
    </w:p>
    <w:p>
      <w:pPr>
        <w:pStyle w:val="Heading1"/>
      </w:pPr>
      <w:r>
        <w:t>2 Στοιχεία που τίθενται υπόψη του Συμβουλίου</w:t>
      </w:r>
    </w:p>
    <w:p>
      <w:r>
        <w:t xml:space="preserve">Τίθενται υπόψη ο ν. 5325/2026, ιδίως τα άρθρα 4, 5, 11 και 12, η απόφαση ΡΑΑΕΥ </w:t>
      </w:r>
      <w:r>
        <w:rPr>
          <w:b/>
        </w:rPr>
        <w:t>[στοιχεία]</w:t>
      </w:r>
      <w:r>
        <w:t xml:space="preserve">, η έκθεση αποτίμησης </w:t>
      </w:r>
      <w:r>
        <w:rPr>
          <w:b/>
        </w:rPr>
        <w:t>[στοιχεία]</w:t>
      </w:r>
      <w:r>
        <w:t xml:space="preserve">, η απογραφή </w:t>
      </w:r>
      <w:r>
        <w:rPr>
          <w:b/>
        </w:rPr>
        <w:t>[αριθμός και συντάκτης]</w:t>
      </w:r>
      <w:r>
        <w:t xml:space="preserve">, οι τίτλοι και το μητρώο παγίων </w:t>
      </w:r>
      <w:r>
        <w:rPr>
          <w:b/>
        </w:rPr>
        <w:t>[στοιχεία]</w:t>
      </w:r>
      <w:r>
        <w:t xml:space="preserve">, καθώς και η γνωμοδότηση </w:t>
      </w:r>
      <w:r>
        <w:rPr>
          <w:b/>
        </w:rPr>
        <w:t>[ημερομηνία και συντάκτης]</w:t>
      </w:r>
      <w:r>
        <w:t xml:space="preserve"> για τη νόμιμη άσκηση της επιλογής και τις συνέπειές της.</w:t>
      </w:r>
    </w:p>
    <w:p>
      <w:r>
        <w:t xml:space="preserve">Οι λόγοι της επιλογής είναι </w:t>
      </w:r>
      <w:r>
        <w:rPr>
          <w:b/>
        </w:rPr>
        <w:t>[συγκεκριμένη αιτιολογία συνδεδεμένη με την περιουσία και τη λειτουργία του Δήμου, τεκμηρίωση ιδιοκτησίας και οικονομική αξιολόγηση]</w:t>
      </w:r>
      <w:r>
        <w:t xml:space="preserve">. Η υπηρεσία έχει αποτυπώσει τις συνέπειες διατήρησης της κυριότητας, τον τρόπο χρήσης των παγίων από τον πάροχο και τα οικονομικά δεδομένα </w:t>
      </w:r>
      <w:r>
        <w:rPr>
          <w:b/>
        </w:rPr>
        <w:t>[παραπομπή σε έκθεση]</w:t>
      </w:r>
      <w:r>
        <w:t>.</w:t>
      </w:r>
    </w:p>
    <w:p>
      <w:r>
        <w:t>Το Συμβούλιο συνεκτιμά ειδικά ότι, κατά το άρθρο 11, η επιλογή αυτή δεν διατηρεί τη ΔΕΥΑ ως φορέα λειτουργίας: προβλέπεται κατάργησή της με την ολοκλήρωση της διαδικασίας, περιέλευση των σχετικών παγίων στον Δήμο και εκ του νόμου δικαίωμα χρήσης και διαχείρισής τους από την ΕΥΔΑΠ έναντι ανταλλάγματος. Συνεκτιμώνται επίσης οι αναπόσβεστες επιχορηγήσεις και τα δάνεια που συνδέονται με τα πάγια και περιέρχονται στον Δήμο. Η οικονομική έκθεση πρέπει να ποσοτικοποιεί τις συνέπειες αυτές πριν από τη λήψη απόφασης.</w:t>
      </w:r>
    </w:p>
    <w:p>
      <w:pPr>
        <w:pStyle w:val="Heading1"/>
      </w:pPr>
      <w:r>
        <w:t>3 Προτεινόμενο διατακτικό</w:t>
      </w:r>
    </w:p>
    <w:p>
      <w:r>
        <w:t>Το Δημοτικό Συμβούλιο, μετά την εξέταση των ανωτέρω, αποφασίζει:</w:t>
      </w:r>
    </w:p>
    <w:p>
      <w:r>
        <w:t>1. Ασκεί τη δυνατότητα του άρθρου 5 παρ. 1 περ. α΄ του ν. 5325/2026 και αποφασίζει τη μη μεταβίβαση της κυριότητας των πάγιων περιουσιακών στοιχείων του Παραρτήματος Α, τα οποία συνδέονται με την παροχή υπηρεσιών ύδατος και εμπίπτουν στην επίμαχη διαδικασία. Το Παράρτημα Α αποτελεί αναπόσπαστο μέρος της απόφασης.</w:t>
      </w:r>
    </w:p>
    <w:p>
      <w:r>
        <w:t>2. Η απόφαση αφορά αποκλειστικά τη διατήρηση της κυριότητας κατά τη συγκεκριμένη διάταξη. Για τα πάγια, τη χρήση τους, το αντάλλαγμα και τη μεταφερόμενη δραστηριότητα εφαρμόζονται οι αντίστοιχες ρυθμίσεις του νόμου, με επιφύλαξη κάθε παραδεκτού δικαιώματος αμφισβήτησης της νομιμότητας των πράξεων εφαρμογής.</w:t>
      </w:r>
    </w:p>
    <w:p>
      <w:r>
        <w:t>3. Εντέλλεται η αρμόδια υπηρεσία να κοινοποιήσει αμελλητί την απόφαση και το πλήρες παράρτημά της στη ΡΑΑΕΥ, στην ΕΥΔΑΠ ΑΕ, στο Υπουργείο Περιβάλλοντος και Ενέργειας και στον Γραμματέα της αρμόδιας Αποκεντρωμένης Διοίκησης, με αποδεικτικά παραλαβής που θα ενταχθούν στον φάκελο. Αντίγραφο διαβιβάζεται στη ΔΕΥΑΧ.</w:t>
      </w:r>
    </w:p>
    <w:p>
      <w:r>
        <w:t>4. Ανατίθεται στις αρμόδιες δημοτικές υπηρεσίες η διατήρηση πλήρους φακέλου τίτλων και η παρακολούθηση των πράξεων που αφορούν τα πάγια του Παραρτήματος Α, ώστε να εντοπισθεί εγκαίρως κάθε τυχόν πράξη μεταβίβασης αντίθετη προς την παρούσα επιλογή.</w:t>
      </w:r>
    </w:p>
    <w:p>
      <w:r>
        <w:t>5. Διαβιβάζεται το ζήτημα στα κατά νόμο αρμόδια όργανα για τις απαιτούμενες αποφάσεις δικαστικής προστασίας, ορισμού πληρεξουσίου και διάθεσης της αντίστοιχης πίστωσης. Δεν τεκμαίρεται γενική εξουσιοδότηση προσφυγής από μόνη την παρούσα απόφαση.</w:t>
      </w:r>
    </w:p>
    <w:p>
      <w:r>
        <w:t>6. Η ενδεχόμενη άσκηση ενδίκου βοηθήματος για τον δικαστικό προσδιορισμό της αξίας κατά το άρθρο 5 παρ. 1 περ. β΄ θα αποτελέσει ειδικά τεκμηριωμένο θέμα, με προσδιορισμό των αμφισβητούμενων στοιχείων, της εφαρμοστέας διαδικασίας και της προθεσμίας. Η απλή επιφύλαξη δεν υποκαθιστά την απαιτούμενη απόφαση ή δικαστική ενέργεια.</w:t>
      </w:r>
    </w:p>
    <w:p>
      <w:r/>
      <w:r>
        <w:rPr>
          <w:b/>
        </w:rPr>
        <w:t>[Αποτέλεσμα ψηφοφορίας, υπογραφές και λοιπά στοιχεία συμπληρώνονται μόνο μετά την πραγματική συνεδρίαση. Το παρόν αποτελεί εισήγηση και σχέδιο, όχι εκδοθείσα απόφαση.]</w:t>
      </w:r>
      <w:r/>
    </w:p>
    <w:p>
      <w:pPr>
        <w:pStyle w:val="Heading1"/>
      </w:pPr>
      <w:r>
        <w:t>4 Παράρτημα Α Προσδιορισμός παγίων</w:t>
      </w:r>
    </w:p>
    <w:p>
      <w:r>
        <w:t>Για κάθε πάγιο καταχωρίζονται: αύξων αριθμός, ακριβής περιγραφή, θέση, ΚΑΕΚ ή άλλο μοναδικό στοιχείο, κύριος σύμφωνα με τον τίτλο, τίτλος κτήσης και καταχώριση, χρήση σχετική με τις υπηρεσίες ύδατος, κωδικός μητρώου και παραπομπή στην απογραφή. Ο πλήρης κατάλογος υπογράφεται από την αρμόδια υπηρεσία και επισυνάπτεται πριν από τη συζήτηση.</w:t>
      </w:r>
    </w:p>
    <w:p>
      <w:r/>
      <w:r>
        <w:rPr>
          <w:b/>
        </w:rPr>
        <w:t>[Πάγιο 1 — συμπληρώνονται όλα τα παραπάνω στοιχεία]</w:t>
      </w:r>
      <w:r>
        <w:br/>
      </w:r>
      <w:r>
        <w:rPr>
          <w:b/>
        </w:rPr>
        <w:t>[Πάγιο 2 — συμπληρώνονται όλα τα παραπάνω στοιχεία]</w:t>
      </w:r>
      <w:r>
        <w:br/>
      </w:r>
      <w:r>
        <w:rPr>
          <w:b/>
        </w:rPr>
        <w:t>[Προστίθενται όλες οι εγγραφές του επαληθευμένου μητρώου]</w:t>
      </w:r>
      <w:r/>
    </w:p>
    <w:p>
      <w:r>
        <w:br w:type="page"/>
      </w:r>
    </w:p>
    <w:p>
      <w:pPr>
        <w:pStyle w:val="Heading1"/>
      </w:pPr>
      <w:r>
        <w:t>Σημείωμα οριστικοποίησης</w:t>
      </w:r>
    </w:p>
    <w:p>
      <w:r>
        <w:t>Το παρόν σημείωμα αφαιρείται από το κείμενο που θα υπογραφεί ή θα κατατεθεί. Τα πεδία σε αγκύλες συμπληρώνονται και οι εναλλακτικές ή μη τεκμηριωμένες διατυπώσεις διαγράφονται.</w:t>
      </w:r>
    </w:p>
    <w:p>
      <w:r>
        <w:t>Η μηνιαία προθεσμία του άρθρου 5 παρ. 1 συνδέεται με την κοινοποίηση στον ΟΤΑ της απόφασης ΡΑΑΕΥ του άρθρου 4 παρ. 5. Δεν υπολογίζεται από τη δημοσίευση του νόμου ή από δημοσίευμα. Απαιτούνται το ίδιο το έγγραφο κοινοποίησης και άμεσος έλεγχος του υπολογισμού.</w:t>
      </w:r>
    </w:p>
    <w:p>
      <w:r>
        <w:t>Το άρθρο 5 δεν παρέχει από μόνο του δικαίωμα αναστολής της μεταφοράς της δραστηριότητας. Η επιλογή μη μεταβίβασης κυριότητας πρέπει να αποτιμηθεί μαζί με τις συνέπειες των άρθρων 11 και 12 και τις ρυθμίσεις χρήσης και ανταλλάγματος. Δεν παρουσιάζεται ως ανεπιφύλακτη κατάργηση της συγχώνευσης.</w:t>
      </w:r>
    </w:p>
    <w:p>
      <w:r>
        <w:t>Η ακριβής διαδρομή της κυριότητας για πάγια που σήμερα ανήκουν στη ΔΕΥΑΧ και όχι απευθείας στον Δήμο ελέγχεται με τους τίτλους και το άρθρο 11. Το υπόδειγμα δεν αποδίδει αυθαίρετα κυριότητα στον Δήμο ούτε υποκαθιστά απογραφή.</w:t>
      </w:r>
    </w:p>
    <w:p>
      <w:r>
        <w:t>Το σχέδιο μπορεί να κατατεθεί ως εισήγηση από πρόσωπο που έχει τη σχετική θεσμική δυνατότητα. Η νόμιμη σύγκληση, η εισαγωγή θέματος, η ψηφοφορία, οι υπογραφές και οι πράξεις δημοσιότητας ολοκληρώνονται από τα αρμόδια όργανα.</w:t>
      </w:r>
    </w:p>
    <w:p>
      <w:pPr>
        <w:pStyle w:val="Heading1"/>
      </w:pPr>
      <w:r>
        <w:t>Νομικές αναφορές</w:t>
      </w:r>
    </w:p>
    <w:p>
      <w:hyperlink r:id="rId10">
        <w:r>
          <w:rPr>
            <w:sz w:val="20"/>
          </w:rPr>
          <w:t>Νόμος 5325/2026 — ιδίως άρθρα 4 5 11 και 12 και πλήρες ΦΕΚ</w:t>
        </w:r>
      </w:hyperlink>
    </w:p>
    <w:p>
      <w:r>
        <w:t>Έλεγχος πηγών 12 Οκτωβρίου 2026. Πριν από τη χρήση απαιτείται έλεγχος της ισχύουσας μορφής των διατάξεων, τυχόν νεότερων πράξεων και του πλήρους διοικητικού φακέλου.</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Σχέδιο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Liberation Serif" w:hAnsi="Liberation Serif" w:eastAsia="Liberation Serif" w:cs="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Liberation Serif" w:hAnsi="Liberation Serif" w:eastAsia="Liberation Serif" w:cs="Liberation Serif"/>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Liberation Serif" w:hAnsi="Liberation Serif" w:eastAsia="Liberation Serif" w:cs="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Liberation Serif" w:hAnsi="Liberation Serif" w:eastAsia="Liberation Serif" w:cs="Liberation Serif"/>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Liberation Serif" w:hAnsi="Liberation Serif" w:eastAsia="Liberation Serif" w:cs="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kodiko.gr/nomothesia/document/1345039/nomos-532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Σχέδιο απόφασης διατήρησης κυριότητας παγίων</dc:title>
  <dc:subject>ΔΕΥΑΧ και ΕΥΔΑΠ — σχέδιο νομικού εγγράφου</dc:subject>
  <dc:creator/>
  <cp:keywords>ΔΕΥΑΧ, ΕΥΔΑΠ, σχέδιο, νομική προστασία</cp:keywords>
  <dc:description>generated by python-docx</dc:description>
  <cp:lastModifiedBy/>
  <cp:revision>1</cp:revision>
  <dcterms:created xsi:type="dcterms:W3CDTF">2013-12-23T23:15:00Z</dcterms:created>
  <dcterms:modified xsi:type="dcterms:W3CDTF">2013-12-23T23:15:00Z</dcterms:modified>
  <cp:category/>
</cp:coreProperties>
</file>